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7EA3AB95" w:rsidR="00294713" w:rsidRDefault="00CA7E2D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ECG</w:t>
      </w:r>
      <w:r w:rsidR="00D67511">
        <w:rPr>
          <w:sz w:val="24"/>
          <w:szCs w:val="24"/>
          <w:lang w:val="en-GB"/>
        </w:rPr>
        <w:t xml:space="preserve"> interpretation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40DDAB47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B877AC">
        <w:rPr>
          <w:sz w:val="24"/>
          <w:szCs w:val="24"/>
          <w:lang w:val="en-GB"/>
        </w:rPr>
        <w:t>/ACP/SCP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2A5B37" w14:textId="0DC08C84" w:rsidR="00047D16" w:rsidRPr="000143D8" w:rsidRDefault="00B877AC" w:rsidP="000143D8">
            <w:pPr>
              <w:pStyle w:val="BodyText2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ECG</w:t>
            </w:r>
            <w:r w:rsidR="00837A89">
              <w:rPr>
                <w:sz w:val="22"/>
                <w:szCs w:val="22"/>
                <w:lang w:val="en-GB"/>
              </w:rPr>
              <w:t xml:space="preserve"> interpretation</w:t>
            </w: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1C302E31" w:rsidR="00F45027" w:rsidRPr="000E22A6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Different types</w:t>
            </w:r>
          </w:p>
          <w:p w14:paraId="053511D5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Rhythm strip</w:t>
            </w:r>
          </w:p>
          <w:p w14:paraId="5FF9CA0E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12 lead ECG</w:t>
            </w:r>
          </w:p>
          <w:p w14:paraId="34F65584" w14:textId="0CC96556" w:rsidR="00B24F99" w:rsidRPr="00B90BAD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Continuous monitoring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841137" w14:paraId="51FEEDD4" w14:textId="77777777" w:rsidTr="00047D16">
        <w:tc>
          <w:tcPr>
            <w:tcW w:w="562" w:type="dxa"/>
          </w:tcPr>
          <w:p w14:paraId="681ECBA7" w14:textId="294EFBDC" w:rsidR="00B877AC" w:rsidRPr="002538DC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3FECFD3E" w14:textId="13BE0289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Indications</w:t>
            </w:r>
          </w:p>
          <w:p w14:paraId="01BC147C" w14:textId="62208934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Benchmark</w:t>
            </w:r>
          </w:p>
          <w:p w14:paraId="276A8E2C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gramStart"/>
            <w:r w:rsidRPr="00B877AC">
              <w:rPr>
                <w:b w:val="0"/>
                <w:sz w:val="22"/>
                <w:szCs w:val="22"/>
                <w:lang w:val="en-GB"/>
              </w:rPr>
              <w:t>Pre op</w:t>
            </w:r>
            <w:proofErr w:type="gramEnd"/>
          </w:p>
          <w:p w14:paraId="3DDCFF82" w14:textId="3DCDEBF2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Post op</w:t>
            </w:r>
          </w:p>
          <w:p w14:paraId="624300AE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Underlying pacing</w:t>
            </w:r>
          </w:p>
          <w:p w14:paraId="3F7E06FA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Patient unwell? cause</w:t>
            </w:r>
          </w:p>
          <w:p w14:paraId="0077A79A" w14:textId="1FE1689A" w:rsidR="00B877AC" w:rsidRPr="002538D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Dysrhythmia</w:t>
            </w:r>
          </w:p>
        </w:tc>
        <w:tc>
          <w:tcPr>
            <w:tcW w:w="1277" w:type="dxa"/>
          </w:tcPr>
          <w:p w14:paraId="096581EF" w14:textId="77777777" w:rsidR="00B877AC" w:rsidRPr="00E70C03" w:rsidRDefault="00B877AC" w:rsidP="00B877A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B877AC" w:rsidRPr="00E70C03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B877AC" w:rsidRPr="00E70C03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841137" w14:paraId="4EB81341" w14:textId="77777777" w:rsidTr="005F6460">
        <w:tc>
          <w:tcPr>
            <w:tcW w:w="562" w:type="dxa"/>
          </w:tcPr>
          <w:p w14:paraId="579F2C50" w14:textId="77777777" w:rsidR="00B877AC" w:rsidRPr="00E70C03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760626FB" w14:textId="2BDBF4D1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Physiology</w:t>
            </w:r>
          </w:p>
          <w:p w14:paraId="651263AB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Conduction system</w:t>
            </w:r>
          </w:p>
          <w:p w14:paraId="0D8673F6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Cardiac cycle</w:t>
            </w:r>
          </w:p>
          <w:p w14:paraId="7A1B59DD" w14:textId="62237F41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P wave – atrial depolarisation</w:t>
            </w:r>
          </w:p>
          <w:p w14:paraId="065367A7" w14:textId="45AC1D9F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B877AC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  <w:r w:rsidRPr="00B877AC">
              <w:rPr>
                <w:b w:val="0"/>
                <w:sz w:val="22"/>
                <w:szCs w:val="22"/>
                <w:lang w:val="en-GB"/>
              </w:rPr>
              <w:t xml:space="preserve"> – </w:t>
            </w: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Pr="00B877AC">
              <w:rPr>
                <w:b w:val="0"/>
                <w:sz w:val="22"/>
                <w:szCs w:val="22"/>
                <w:lang w:val="en-GB"/>
              </w:rPr>
              <w:t>entricular depolari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B877AC">
              <w:rPr>
                <w:b w:val="0"/>
                <w:sz w:val="22"/>
                <w:szCs w:val="22"/>
                <w:lang w:val="en-GB"/>
              </w:rPr>
              <w:t>ation</w:t>
            </w:r>
          </w:p>
          <w:p w14:paraId="5BCB4FBB" w14:textId="2B42E53F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T – repolari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B877AC">
              <w:rPr>
                <w:b w:val="0"/>
                <w:sz w:val="22"/>
                <w:szCs w:val="22"/>
                <w:lang w:val="en-GB"/>
              </w:rPr>
              <w:t>ation</w:t>
            </w:r>
          </w:p>
        </w:tc>
        <w:tc>
          <w:tcPr>
            <w:tcW w:w="1277" w:type="dxa"/>
          </w:tcPr>
          <w:p w14:paraId="21BEA821" w14:textId="77777777" w:rsidR="00B877AC" w:rsidRPr="00E70C03" w:rsidRDefault="00B877AC" w:rsidP="00B877A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B877AC" w:rsidRPr="00E70C03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B877AC" w:rsidRPr="00E70C03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841137" w14:paraId="0C1FB345" w14:textId="77777777" w:rsidTr="005F6460">
        <w:tc>
          <w:tcPr>
            <w:tcW w:w="562" w:type="dxa"/>
          </w:tcPr>
          <w:p w14:paraId="24F92AC2" w14:textId="5DA8299A" w:rsidR="00B877AC" w:rsidRPr="002538DC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93C0EE6" w14:textId="304BC5E0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Analysis</w:t>
            </w:r>
          </w:p>
          <w:p w14:paraId="301446BA" w14:textId="77777777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Annotation</w:t>
            </w:r>
          </w:p>
          <w:p w14:paraId="14EA17C1" w14:textId="7B61A5DE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Calibration 10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B877AC">
              <w:rPr>
                <w:b w:val="0"/>
                <w:sz w:val="22"/>
                <w:szCs w:val="22"/>
                <w:lang w:val="en-GB"/>
              </w:rPr>
              <w:t>mm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877AC">
              <w:rPr>
                <w:b w:val="0"/>
                <w:sz w:val="22"/>
                <w:szCs w:val="22"/>
                <w:lang w:val="en-GB"/>
              </w:rPr>
              <w:t>= 1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B877AC">
              <w:rPr>
                <w:b w:val="0"/>
                <w:sz w:val="22"/>
                <w:szCs w:val="22"/>
                <w:lang w:val="en-GB"/>
              </w:rPr>
              <w:t>mV. Paper speed = 25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B877AC">
              <w:rPr>
                <w:b w:val="0"/>
                <w:sz w:val="22"/>
                <w:szCs w:val="22"/>
                <w:lang w:val="en-GB"/>
              </w:rPr>
              <w:t>mm/s = 25 small squares = 5 large squares = 1 sec</w:t>
            </w:r>
          </w:p>
          <w:p w14:paraId="739DF3D8" w14:textId="16E3D0F4" w:rsidR="00B877AC" w:rsidRPr="00B877AC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1 large square = 200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B877AC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  <w:r w:rsidR="004846E0">
              <w:rPr>
                <w:b w:val="0"/>
                <w:sz w:val="22"/>
                <w:szCs w:val="22"/>
                <w:lang w:val="en-GB"/>
              </w:rPr>
              <w:t>,</w:t>
            </w:r>
            <w:r w:rsidRPr="00B877AC">
              <w:rPr>
                <w:b w:val="0"/>
                <w:sz w:val="22"/>
                <w:szCs w:val="22"/>
                <w:lang w:val="en-GB"/>
              </w:rPr>
              <w:t xml:space="preserve"> 1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877AC">
              <w:rPr>
                <w:b w:val="0"/>
                <w:sz w:val="22"/>
                <w:szCs w:val="22"/>
                <w:lang w:val="en-GB"/>
              </w:rPr>
              <w:t>small square = 0.4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B877AC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1AEBAB7F" w14:textId="47170D8C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Correct recording, quality, limb placement</w:t>
            </w:r>
          </w:p>
        </w:tc>
        <w:tc>
          <w:tcPr>
            <w:tcW w:w="1277" w:type="dxa"/>
          </w:tcPr>
          <w:p w14:paraId="5E1EF044" w14:textId="77777777" w:rsidR="00B877AC" w:rsidRPr="00B36C8F" w:rsidRDefault="00B877AC" w:rsidP="00B877A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B877AC" w:rsidRPr="00B36C8F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B877AC" w:rsidRPr="00B36C8F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841137" w14:paraId="405DED47" w14:textId="77777777" w:rsidTr="005F6460">
        <w:tc>
          <w:tcPr>
            <w:tcW w:w="562" w:type="dxa"/>
          </w:tcPr>
          <w:p w14:paraId="7E313490" w14:textId="12FDF755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05F4EDC5" w14:textId="34ABC833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Rhythm strip analysis</w:t>
            </w:r>
          </w:p>
          <w:p w14:paraId="2052514C" w14:textId="2A9DBABB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Clinical review of patient </w:t>
            </w:r>
            <w:r w:rsidR="004846E0">
              <w:rPr>
                <w:b w:val="0"/>
                <w:sz w:val="22"/>
                <w:szCs w:val="22"/>
                <w:lang w:val="en-GB"/>
              </w:rPr>
              <w:t>and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CVS</w:t>
            </w:r>
          </w:p>
          <w:p w14:paraId="110582F7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Rhythm</w:t>
            </w:r>
          </w:p>
          <w:p w14:paraId="1B7DF39B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Rate</w:t>
            </w:r>
          </w:p>
          <w:p w14:paraId="49F74BC9" w14:textId="374995FC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P wave height &lt;2.5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4846E0">
              <w:rPr>
                <w:b w:val="0"/>
                <w:sz w:val="22"/>
                <w:szCs w:val="22"/>
                <w:lang w:val="en-GB"/>
              </w:rPr>
              <w:t>mm. Length &lt;0.08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2F234CFD" w14:textId="635DA042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duration &lt;120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784D601F" w14:textId="6DD83E82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PR interval 120–200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36EAB9A6" w14:textId="21CD6AAA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QT interval &gt;380 &lt;420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mm BUT r/v rate </w:t>
            </w:r>
            <w:r w:rsidR="004846E0">
              <w:rPr>
                <w:b w:val="0"/>
                <w:sz w:val="22"/>
                <w:szCs w:val="22"/>
                <w:lang w:val="en-GB"/>
              </w:rPr>
              <w:t>and sex</w:t>
            </w:r>
          </w:p>
        </w:tc>
        <w:tc>
          <w:tcPr>
            <w:tcW w:w="1277" w:type="dxa"/>
          </w:tcPr>
          <w:p w14:paraId="65E0E879" w14:textId="77777777" w:rsidR="00B877AC" w:rsidRPr="003A62E9" w:rsidRDefault="00B877AC" w:rsidP="00B877A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841137" w14:paraId="4FE16F7F" w14:textId="77777777" w:rsidTr="00047D16">
        <w:tc>
          <w:tcPr>
            <w:tcW w:w="562" w:type="dxa"/>
          </w:tcPr>
          <w:p w14:paraId="0E3693C0" w14:textId="6CD986CC" w:rsidR="00B877AC" w:rsidRPr="001858E8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1E3E8B3D" w14:textId="3D2C0FAA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Abnormal rhythms</w:t>
            </w:r>
          </w:p>
          <w:p w14:paraId="6070592F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Asystole</w:t>
            </w:r>
          </w:p>
          <w:p w14:paraId="511A387D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VT (with pulse or pulseless)</w:t>
            </w:r>
          </w:p>
          <w:p w14:paraId="75F5FA22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VF</w:t>
            </w:r>
          </w:p>
          <w:p w14:paraId="7889EBAD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PEA</w:t>
            </w:r>
          </w:p>
          <w:p w14:paraId="5E233977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Sinus tachycardia</w:t>
            </w:r>
          </w:p>
          <w:p w14:paraId="0860808C" w14:textId="00C21335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Atrial </w:t>
            </w:r>
            <w:r w:rsidR="004846E0">
              <w:rPr>
                <w:b w:val="0"/>
                <w:sz w:val="22"/>
                <w:szCs w:val="22"/>
                <w:lang w:val="en-GB"/>
              </w:rPr>
              <w:t>f</w:t>
            </w:r>
            <w:r w:rsidRPr="004846E0">
              <w:rPr>
                <w:b w:val="0"/>
                <w:sz w:val="22"/>
                <w:szCs w:val="22"/>
                <w:lang w:val="en-GB"/>
              </w:rPr>
              <w:t>ibrillation</w:t>
            </w:r>
          </w:p>
          <w:p w14:paraId="79302710" w14:textId="0D884C35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Atrial </w:t>
            </w:r>
            <w:r w:rsidR="004846E0">
              <w:rPr>
                <w:b w:val="0"/>
                <w:sz w:val="22"/>
                <w:szCs w:val="22"/>
                <w:lang w:val="en-GB"/>
              </w:rPr>
              <w:t>f</w:t>
            </w:r>
            <w:r w:rsidRPr="004846E0">
              <w:rPr>
                <w:b w:val="0"/>
                <w:sz w:val="22"/>
                <w:szCs w:val="22"/>
                <w:lang w:val="en-GB"/>
              </w:rPr>
              <w:t>lutter</w:t>
            </w:r>
          </w:p>
          <w:p w14:paraId="47579775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lastRenderedPageBreak/>
              <w:t>Sinus bradycardia</w:t>
            </w:r>
          </w:p>
          <w:p w14:paraId="065A4D15" w14:textId="40E04976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Junctional</w:t>
            </w:r>
          </w:p>
          <w:p w14:paraId="5ECEEA44" w14:textId="514BCF7B" w:rsidR="00B877AC" w:rsidRPr="004551B6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Heart block</w:t>
            </w:r>
          </w:p>
        </w:tc>
        <w:tc>
          <w:tcPr>
            <w:tcW w:w="1277" w:type="dxa"/>
          </w:tcPr>
          <w:p w14:paraId="42FE116A" w14:textId="77777777" w:rsidR="00B877AC" w:rsidRPr="000E22A6" w:rsidRDefault="00B877AC" w:rsidP="00B877AC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B877AC" w:rsidRPr="000E22A6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B877AC" w:rsidRPr="000E22A6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B877AC" w:rsidRPr="005D5C27" w14:paraId="44479CEA" w14:textId="77777777" w:rsidTr="007D70D1">
        <w:trPr>
          <w:trHeight w:val="21"/>
        </w:trPr>
        <w:tc>
          <w:tcPr>
            <w:tcW w:w="562" w:type="dxa"/>
          </w:tcPr>
          <w:p w14:paraId="17793B64" w14:textId="63D8A96A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64638C01" w14:textId="262A7E00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Heart block</w:t>
            </w:r>
            <w:r w:rsidRPr="00B877AC">
              <w:rPr>
                <w:b w:val="0"/>
                <w:sz w:val="22"/>
                <w:szCs w:val="22"/>
                <w:lang w:val="en-GB"/>
              </w:rPr>
              <w:t>s</w:t>
            </w:r>
          </w:p>
          <w:p w14:paraId="59FEF8E6" w14:textId="722AB4EE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gramStart"/>
            <w:r w:rsidRPr="004846E0">
              <w:rPr>
                <w:b w:val="0"/>
                <w:sz w:val="22"/>
                <w:szCs w:val="22"/>
                <w:lang w:val="en-GB"/>
              </w:rPr>
              <w:t>1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846E0">
              <w:rPr>
                <w:b w:val="0"/>
                <w:sz w:val="22"/>
                <w:szCs w:val="22"/>
                <w:lang w:val="en-GB"/>
              </w:rPr>
              <w:t>degree</w:t>
            </w:r>
            <w:proofErr w:type="gramEnd"/>
            <w:r w:rsidRPr="004846E0">
              <w:rPr>
                <w:b w:val="0"/>
                <w:sz w:val="22"/>
                <w:szCs w:val="22"/>
                <w:lang w:val="en-GB"/>
              </w:rPr>
              <w:t xml:space="preserve"> HB PR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846E0">
              <w:rPr>
                <w:b w:val="0"/>
                <w:sz w:val="22"/>
                <w:szCs w:val="22"/>
                <w:lang w:val="en-GB"/>
              </w:rPr>
              <w:t>&gt;200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259F7708" w14:textId="600E32E8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gramStart"/>
            <w:r w:rsidRPr="004846E0">
              <w:rPr>
                <w:b w:val="0"/>
                <w:sz w:val="22"/>
                <w:szCs w:val="22"/>
                <w:lang w:val="en-GB"/>
              </w:rPr>
              <w:t>2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846E0">
              <w:rPr>
                <w:b w:val="0"/>
                <w:sz w:val="22"/>
                <w:szCs w:val="22"/>
                <w:lang w:val="en-GB"/>
              </w:rPr>
              <w:t>degree</w:t>
            </w:r>
            <w:proofErr w:type="gramEnd"/>
            <w:r w:rsidRPr="004846E0">
              <w:rPr>
                <w:b w:val="0"/>
                <w:sz w:val="22"/>
                <w:szCs w:val="22"/>
                <w:lang w:val="en-GB"/>
              </w:rPr>
              <w:t xml:space="preserve"> HB </w:t>
            </w:r>
            <w:r w:rsidR="004846E0">
              <w:rPr>
                <w:b w:val="0"/>
                <w:sz w:val="22"/>
                <w:szCs w:val="22"/>
                <w:lang w:val="en-GB"/>
              </w:rPr>
              <w:t>t</w:t>
            </w:r>
            <w:r w:rsidRPr="004846E0">
              <w:rPr>
                <w:b w:val="0"/>
                <w:sz w:val="22"/>
                <w:szCs w:val="22"/>
                <w:lang w:val="en-GB"/>
              </w:rPr>
              <w:t>ype I (Wenckebach)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–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PR lengthening </w:t>
            </w:r>
            <w:r w:rsidR="004846E0">
              <w:rPr>
                <w:b w:val="0"/>
                <w:sz w:val="22"/>
                <w:szCs w:val="22"/>
                <w:lang w:val="en-GB"/>
              </w:rPr>
              <w:t>and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dropped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</w:p>
          <w:p w14:paraId="71A641D3" w14:textId="4339E3E8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gramStart"/>
            <w:r w:rsidRPr="004846E0">
              <w:rPr>
                <w:b w:val="0"/>
                <w:sz w:val="22"/>
                <w:szCs w:val="22"/>
                <w:lang w:val="en-GB"/>
              </w:rPr>
              <w:t>2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846E0">
              <w:rPr>
                <w:b w:val="0"/>
                <w:sz w:val="22"/>
                <w:szCs w:val="22"/>
                <w:lang w:val="en-GB"/>
              </w:rPr>
              <w:t>degree</w:t>
            </w:r>
            <w:proofErr w:type="gramEnd"/>
            <w:r w:rsidRPr="004846E0">
              <w:rPr>
                <w:b w:val="0"/>
                <w:sz w:val="22"/>
                <w:szCs w:val="22"/>
                <w:lang w:val="en-GB"/>
              </w:rPr>
              <w:t xml:space="preserve"> HB </w:t>
            </w:r>
            <w:r w:rsidR="004846E0">
              <w:rPr>
                <w:b w:val="0"/>
                <w:sz w:val="22"/>
                <w:szCs w:val="22"/>
                <w:lang w:val="en-GB"/>
              </w:rPr>
              <w:t>t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ype II – PR constant, frequent dropping of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</w:p>
          <w:p w14:paraId="20E83117" w14:textId="6657E6A7" w:rsidR="00B877AC" w:rsidRPr="002538DC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Cs w:val="0"/>
                <w:sz w:val="22"/>
                <w:szCs w:val="22"/>
              </w:rPr>
            </w:pPr>
            <w:proofErr w:type="gramStart"/>
            <w:r w:rsidRPr="004846E0">
              <w:rPr>
                <w:b w:val="0"/>
                <w:sz w:val="22"/>
                <w:szCs w:val="22"/>
                <w:lang w:val="en-GB"/>
              </w:rPr>
              <w:t>3</w:t>
            </w:r>
            <w:r w:rsid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4846E0">
              <w:rPr>
                <w:b w:val="0"/>
                <w:sz w:val="22"/>
                <w:szCs w:val="22"/>
                <w:lang w:val="en-GB"/>
              </w:rPr>
              <w:t>degree</w:t>
            </w:r>
            <w:proofErr w:type="gramEnd"/>
            <w:r w:rsidRPr="004846E0">
              <w:rPr>
                <w:b w:val="0"/>
                <w:sz w:val="22"/>
                <w:szCs w:val="22"/>
                <w:lang w:val="en-GB"/>
              </w:rPr>
              <w:t xml:space="preserve"> HB no associated P/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activity</w:t>
            </w:r>
          </w:p>
        </w:tc>
        <w:tc>
          <w:tcPr>
            <w:tcW w:w="1277" w:type="dxa"/>
          </w:tcPr>
          <w:p w14:paraId="06AFF6F5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A1BFF1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34D371A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5D5C27" w14:paraId="741620FA" w14:textId="77777777" w:rsidTr="007D70D1">
        <w:trPr>
          <w:trHeight w:val="21"/>
        </w:trPr>
        <w:tc>
          <w:tcPr>
            <w:tcW w:w="562" w:type="dxa"/>
          </w:tcPr>
          <w:p w14:paraId="7B7EFCFF" w14:textId="09E838CE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0F21378E" w14:textId="2D95B8A0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 xml:space="preserve">12 </w:t>
            </w:r>
            <w:r w:rsidRPr="00B877AC">
              <w:rPr>
                <w:b w:val="0"/>
                <w:sz w:val="22"/>
                <w:szCs w:val="22"/>
                <w:lang w:val="en-GB"/>
              </w:rPr>
              <w:t>l</w:t>
            </w:r>
            <w:r w:rsidRPr="00B877AC">
              <w:rPr>
                <w:b w:val="0"/>
                <w:sz w:val="22"/>
                <w:szCs w:val="22"/>
                <w:lang w:val="en-GB"/>
              </w:rPr>
              <w:t>ead ECG analysis</w:t>
            </w:r>
          </w:p>
          <w:p w14:paraId="085CFA30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Axis</w:t>
            </w:r>
          </w:p>
          <w:p w14:paraId="71F6AE5E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Exclude bundle branch block</w:t>
            </w:r>
          </w:p>
          <w:p w14:paraId="1F8C4F6D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Limb leads</w:t>
            </w:r>
          </w:p>
          <w:p w14:paraId="64CFC510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Chest leads</w:t>
            </w:r>
          </w:p>
          <w:p w14:paraId="11C7E70F" w14:textId="755EFD20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Territories relate to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CAs</w:t>
            </w:r>
            <w:proofErr w:type="spellEnd"/>
          </w:p>
          <w:p w14:paraId="3CF7E1AC" w14:textId="1C96A3A2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Q wave – deeper than 0.2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4846E0">
              <w:rPr>
                <w:b w:val="0"/>
                <w:sz w:val="22"/>
                <w:szCs w:val="22"/>
                <w:lang w:val="en-GB"/>
              </w:rPr>
              <w:t>mV +/or wider than 40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0C99584F" w14:textId="3AEACD8F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QRS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– S wave in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V1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+ height of R wave in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V6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&lt;35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r w:rsidRPr="004846E0">
              <w:rPr>
                <w:b w:val="0"/>
                <w:sz w:val="22"/>
                <w:szCs w:val="22"/>
                <w:lang w:val="en-GB"/>
              </w:rPr>
              <w:t>mm. Width &lt;120</w:t>
            </w:r>
            <w:r w:rsidR="004846E0">
              <w:rPr>
                <w:b w:val="0"/>
                <w:sz w:val="22"/>
                <w:szCs w:val="22"/>
                <w:lang w:val="en-GB"/>
              </w:rPr>
              <w:t> 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ms</w:t>
            </w:r>
            <w:proofErr w:type="spellEnd"/>
          </w:p>
          <w:p w14:paraId="71DD737C" w14:textId="2D3CBB40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LBBB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4846E0">
              <w:rPr>
                <w:b w:val="0"/>
                <w:sz w:val="22"/>
                <w:szCs w:val="22"/>
                <w:lang w:val="en-GB"/>
              </w:rPr>
              <w:t>and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RBBB</w:t>
            </w:r>
            <w:proofErr w:type="spellEnd"/>
          </w:p>
          <w:p w14:paraId="57A4635E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ST segment</w:t>
            </w:r>
          </w:p>
          <w:p w14:paraId="5884E8C9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T waves</w:t>
            </w:r>
          </w:p>
          <w:p w14:paraId="51BCBF18" w14:textId="62382377" w:rsidR="00B877AC" w:rsidRPr="004846E0" w:rsidRDefault="00B877AC" w:rsidP="00B877A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S1Q3T3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4846E0">
              <w:rPr>
                <w:b w:val="0"/>
                <w:sz w:val="22"/>
                <w:szCs w:val="22"/>
                <w:lang w:val="en-GB"/>
              </w:rPr>
              <w:t>–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PE</w:t>
            </w:r>
          </w:p>
        </w:tc>
        <w:tc>
          <w:tcPr>
            <w:tcW w:w="1277" w:type="dxa"/>
          </w:tcPr>
          <w:p w14:paraId="50FBCA51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68D7405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A8C18D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5D5C27" w14:paraId="714FE740" w14:textId="77777777" w:rsidTr="007D70D1">
        <w:trPr>
          <w:trHeight w:val="21"/>
        </w:trPr>
        <w:tc>
          <w:tcPr>
            <w:tcW w:w="562" w:type="dxa"/>
          </w:tcPr>
          <w:p w14:paraId="73216B6D" w14:textId="2CD7DC8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13139FE6" w14:textId="77777777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Atrial ECG</w:t>
            </w:r>
          </w:p>
          <w:p w14:paraId="6423255D" w14:textId="492ECD7E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gramStart"/>
            <w:r w:rsidRPr="004846E0">
              <w:rPr>
                <w:b w:val="0"/>
                <w:sz w:val="22"/>
                <w:szCs w:val="22"/>
                <w:lang w:val="en-GB"/>
              </w:rPr>
              <w:t>Indications ?</w:t>
            </w:r>
            <w:proofErr w:type="gramEnd"/>
            <w:r w:rsidRPr="004846E0">
              <w:rPr>
                <w:b w:val="0"/>
                <w:sz w:val="22"/>
                <w:szCs w:val="22"/>
                <w:lang w:val="en-GB"/>
              </w:rPr>
              <w:t xml:space="preserve"> Atrial activity/AF/flutter</w:t>
            </w:r>
          </w:p>
        </w:tc>
        <w:tc>
          <w:tcPr>
            <w:tcW w:w="1277" w:type="dxa"/>
          </w:tcPr>
          <w:p w14:paraId="335D48DD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C1053A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F24BBA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877AC" w:rsidRPr="005D5C27" w14:paraId="0DA408B2" w14:textId="77777777" w:rsidTr="007D70D1">
        <w:trPr>
          <w:trHeight w:val="21"/>
        </w:trPr>
        <w:tc>
          <w:tcPr>
            <w:tcW w:w="562" w:type="dxa"/>
          </w:tcPr>
          <w:p w14:paraId="4D7BE210" w14:textId="6689A9ED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5EDA48DF" w14:textId="77777777" w:rsidR="00B877AC" w:rsidRPr="00B877AC" w:rsidRDefault="00B877AC" w:rsidP="00B877A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How to perform</w:t>
            </w:r>
          </w:p>
          <w:p w14:paraId="772A7ADC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>Baseline 12 lead ECG</w:t>
            </w:r>
          </w:p>
          <w:p w14:paraId="33B840AF" w14:textId="77777777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Take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Rt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arm limb lead or </w:t>
            </w:r>
            <w:proofErr w:type="spellStart"/>
            <w:r w:rsidRPr="004846E0">
              <w:rPr>
                <w:b w:val="0"/>
                <w:sz w:val="22"/>
                <w:szCs w:val="22"/>
                <w:lang w:val="en-GB"/>
              </w:rPr>
              <w:t>V1</w:t>
            </w:r>
            <w:proofErr w:type="spellEnd"/>
            <w:r w:rsidRPr="004846E0">
              <w:rPr>
                <w:b w:val="0"/>
                <w:sz w:val="22"/>
                <w:szCs w:val="22"/>
                <w:lang w:val="en-GB"/>
              </w:rPr>
              <w:t xml:space="preserve"> and attach to the atrial pacing wire</w:t>
            </w:r>
          </w:p>
          <w:p w14:paraId="6054C547" w14:textId="3192835B" w:rsidR="00B877AC" w:rsidRPr="004846E0" w:rsidRDefault="00B877AC" w:rsidP="004846E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846E0">
              <w:rPr>
                <w:b w:val="0"/>
                <w:sz w:val="22"/>
                <w:szCs w:val="22"/>
                <w:lang w:val="en-GB"/>
              </w:rPr>
              <w:t xml:space="preserve">Atrial activity will be amplified and can be compared </w:t>
            </w:r>
            <w:r w:rsidR="004846E0">
              <w:rPr>
                <w:b w:val="0"/>
                <w:sz w:val="22"/>
                <w:szCs w:val="22"/>
                <w:lang w:val="en-GB"/>
              </w:rPr>
              <w:t>with</w:t>
            </w:r>
            <w:r w:rsidRPr="004846E0">
              <w:rPr>
                <w:b w:val="0"/>
                <w:sz w:val="22"/>
                <w:szCs w:val="22"/>
                <w:lang w:val="en-GB"/>
              </w:rPr>
              <w:t xml:space="preserve"> the routine ECG</w:t>
            </w:r>
          </w:p>
        </w:tc>
        <w:tc>
          <w:tcPr>
            <w:tcW w:w="1277" w:type="dxa"/>
          </w:tcPr>
          <w:p w14:paraId="2F2127BC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FE2333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1993572" w14:textId="77777777" w:rsidR="00B877AC" w:rsidRPr="003A62E9" w:rsidRDefault="00B877AC" w:rsidP="00B8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1E5CAAEB" w14:textId="7437E23F" w:rsidR="00B90BAD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 xml:space="preserve"> – </w:t>
            </w:r>
            <w:r w:rsidR="00D67511" w:rsidRPr="00D67511">
              <w:rPr>
                <w:bCs/>
                <w:sz w:val="22"/>
                <w:szCs w:val="22"/>
              </w:rPr>
              <w:t xml:space="preserve">Demonstrates that the practitioner has ordered the </w:t>
            </w:r>
            <w:r w:rsidR="00B90BAD">
              <w:rPr>
                <w:bCs/>
                <w:sz w:val="22"/>
                <w:szCs w:val="22"/>
              </w:rPr>
              <w:t>CXR</w:t>
            </w:r>
            <w:r w:rsidR="00D67511" w:rsidRPr="00D67511">
              <w:rPr>
                <w:bCs/>
                <w:sz w:val="22"/>
                <w:szCs w:val="22"/>
              </w:rPr>
              <w:t xml:space="preserve"> appropriately in accordance with postoperative protocol or based on abnormal clinical findings.</w:t>
            </w:r>
          </w:p>
          <w:p w14:paraId="73F6DBFC" w14:textId="42842E02" w:rsidR="00B90BAD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Demonstrates that the practitioner has review the </w:t>
            </w:r>
            <w:r w:rsidR="00B90BAD">
              <w:rPr>
                <w:bCs/>
                <w:sz w:val="22"/>
                <w:szCs w:val="22"/>
              </w:rPr>
              <w:t>CXR</w:t>
            </w:r>
            <w:r w:rsidRPr="00D67511">
              <w:rPr>
                <w:bCs/>
                <w:sz w:val="22"/>
                <w:szCs w:val="22"/>
              </w:rPr>
              <w:t xml:space="preserve"> in a systematic way</w:t>
            </w:r>
            <w:r w:rsidR="00B90BAD">
              <w:rPr>
                <w:bCs/>
                <w:sz w:val="22"/>
                <w:szCs w:val="22"/>
              </w:rPr>
              <w:t>,</w:t>
            </w:r>
            <w:r w:rsidRPr="00D67511">
              <w:rPr>
                <w:bCs/>
                <w:sz w:val="22"/>
                <w:szCs w:val="22"/>
              </w:rPr>
              <w:t xml:space="preserve"> and ensures they have identified the correct legal and clinical aspects.</w:t>
            </w:r>
          </w:p>
          <w:p w14:paraId="5049DCA2" w14:textId="77777777" w:rsidR="00B90BAD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The practitioner comments on the findings in relation to previous </w:t>
            </w:r>
            <w:proofErr w:type="spellStart"/>
            <w:r w:rsidRPr="00D67511">
              <w:rPr>
                <w:bCs/>
                <w:sz w:val="22"/>
                <w:szCs w:val="22"/>
              </w:rPr>
              <w:t>CXRs</w:t>
            </w:r>
            <w:proofErr w:type="spellEnd"/>
            <w:r w:rsidRPr="00D67511">
              <w:rPr>
                <w:bCs/>
                <w:sz w:val="22"/>
                <w:szCs w:val="22"/>
              </w:rPr>
              <w:t>.</w:t>
            </w:r>
          </w:p>
          <w:p w14:paraId="41AD0FCC" w14:textId="5582F8D4" w:rsidR="002538DC" w:rsidRPr="00841137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The practitioner is able to verbalise the correct course of action that should be taken if </w:t>
            </w:r>
            <w:r w:rsidR="00B90BAD">
              <w:rPr>
                <w:bCs/>
                <w:sz w:val="22"/>
                <w:szCs w:val="22"/>
              </w:rPr>
              <w:t xml:space="preserve">there are </w:t>
            </w:r>
            <w:r w:rsidRPr="00D67511">
              <w:rPr>
                <w:bCs/>
                <w:sz w:val="22"/>
                <w:szCs w:val="22"/>
              </w:rPr>
              <w:t>any abnormal findings, to include communication with the multidisciplinary team and the documentation according to the practitioner</w:t>
            </w:r>
            <w:r w:rsidR="00B90BAD">
              <w:rPr>
                <w:bCs/>
                <w:sz w:val="22"/>
                <w:szCs w:val="22"/>
              </w:rPr>
              <w:t>’</w:t>
            </w:r>
            <w:r w:rsidRPr="00D67511">
              <w:rPr>
                <w:bCs/>
                <w:sz w:val="22"/>
                <w:szCs w:val="22"/>
              </w:rPr>
              <w:t>s professional body and code of conduct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249078BE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574E17F" w14:textId="77777777" w:rsidR="002538DC" w:rsidRPr="005D5C27" w:rsidRDefault="002538D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DBC0205" w14:textId="0B30C255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89BEEC6" w14:textId="5CC5FDA4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0A042DF" w14:textId="77777777" w:rsidR="004846E0" w:rsidRDefault="004846E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lastRenderedPageBreak/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35C" w14:textId="77777777" w:rsidR="00957A0A" w:rsidRDefault="00957A0A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B4525A" w14:textId="77777777" w:rsidR="00957A0A" w:rsidRDefault="00957A0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ED3E" w14:textId="77777777" w:rsidR="00957A0A" w:rsidRDefault="00957A0A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DE5F7A" w14:textId="77777777" w:rsidR="00957A0A" w:rsidRDefault="00957A0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18"/>
  </w:num>
  <w:num w:numId="5">
    <w:abstractNumId w:val="16"/>
  </w:num>
  <w:num w:numId="6">
    <w:abstractNumId w:val="21"/>
  </w:num>
  <w:num w:numId="7">
    <w:abstractNumId w:val="13"/>
  </w:num>
  <w:num w:numId="8">
    <w:abstractNumId w:val="12"/>
  </w:num>
  <w:num w:numId="9">
    <w:abstractNumId w:val="22"/>
  </w:num>
  <w:num w:numId="10">
    <w:abstractNumId w:val="6"/>
  </w:num>
  <w:num w:numId="11">
    <w:abstractNumId w:val="20"/>
  </w:num>
  <w:num w:numId="12">
    <w:abstractNumId w:val="30"/>
  </w:num>
  <w:num w:numId="13">
    <w:abstractNumId w:val="15"/>
  </w:num>
  <w:num w:numId="14">
    <w:abstractNumId w:val="27"/>
  </w:num>
  <w:num w:numId="15">
    <w:abstractNumId w:val="11"/>
  </w:num>
  <w:num w:numId="16">
    <w:abstractNumId w:val="7"/>
  </w:num>
  <w:num w:numId="17">
    <w:abstractNumId w:val="10"/>
  </w:num>
  <w:num w:numId="18">
    <w:abstractNumId w:val="29"/>
  </w:num>
  <w:num w:numId="19">
    <w:abstractNumId w:val="8"/>
  </w:num>
  <w:num w:numId="20">
    <w:abstractNumId w:val="23"/>
  </w:num>
  <w:num w:numId="21">
    <w:abstractNumId w:val="2"/>
  </w:num>
  <w:num w:numId="22">
    <w:abstractNumId w:val="5"/>
  </w:num>
  <w:num w:numId="23">
    <w:abstractNumId w:val="0"/>
  </w:num>
  <w:num w:numId="24">
    <w:abstractNumId w:val="19"/>
  </w:num>
  <w:num w:numId="25">
    <w:abstractNumId w:val="17"/>
  </w:num>
  <w:num w:numId="26">
    <w:abstractNumId w:val="26"/>
  </w:num>
  <w:num w:numId="27">
    <w:abstractNumId w:val="1"/>
  </w:num>
  <w:num w:numId="28">
    <w:abstractNumId w:val="24"/>
  </w:num>
  <w:num w:numId="29">
    <w:abstractNumId w:val="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E22A6"/>
    <w:rsid w:val="000F6924"/>
    <w:rsid w:val="00102D70"/>
    <w:rsid w:val="0010380D"/>
    <w:rsid w:val="0013642C"/>
    <w:rsid w:val="001372FB"/>
    <w:rsid w:val="0017606C"/>
    <w:rsid w:val="001858E8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414ECB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7D0A"/>
    <w:rsid w:val="004E5162"/>
    <w:rsid w:val="00503AAA"/>
    <w:rsid w:val="00512FB0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7A89"/>
    <w:rsid w:val="00841137"/>
    <w:rsid w:val="0086226E"/>
    <w:rsid w:val="008A61EF"/>
    <w:rsid w:val="008F1276"/>
    <w:rsid w:val="008F278A"/>
    <w:rsid w:val="00944E27"/>
    <w:rsid w:val="00957A0A"/>
    <w:rsid w:val="00962446"/>
    <w:rsid w:val="0097663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86B9A"/>
    <w:rsid w:val="00B877AC"/>
    <w:rsid w:val="00B90BAD"/>
    <w:rsid w:val="00BA54BE"/>
    <w:rsid w:val="00BD1367"/>
    <w:rsid w:val="00BD396C"/>
    <w:rsid w:val="00BD541A"/>
    <w:rsid w:val="00C1364E"/>
    <w:rsid w:val="00C21424"/>
    <w:rsid w:val="00C2709C"/>
    <w:rsid w:val="00C33CF7"/>
    <w:rsid w:val="00C4020E"/>
    <w:rsid w:val="00C65E5F"/>
    <w:rsid w:val="00C93769"/>
    <w:rsid w:val="00CA7E2D"/>
    <w:rsid w:val="00CB1FD6"/>
    <w:rsid w:val="00CC3204"/>
    <w:rsid w:val="00CC59ED"/>
    <w:rsid w:val="00CC7B8B"/>
    <w:rsid w:val="00CF303A"/>
    <w:rsid w:val="00D073C7"/>
    <w:rsid w:val="00D331F6"/>
    <w:rsid w:val="00D5008B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40AF1"/>
    <w:rsid w:val="00E57BE6"/>
    <w:rsid w:val="00E67434"/>
    <w:rsid w:val="00E70C03"/>
    <w:rsid w:val="00E81C9D"/>
    <w:rsid w:val="00E97237"/>
    <w:rsid w:val="00F20E5D"/>
    <w:rsid w:val="00F21C6B"/>
    <w:rsid w:val="00F45027"/>
    <w:rsid w:val="00F52E61"/>
    <w:rsid w:val="00F57BE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4</cp:revision>
  <cp:lastPrinted>2010-04-13T13:16:00Z</cp:lastPrinted>
  <dcterms:created xsi:type="dcterms:W3CDTF">2021-04-22T08:19:00Z</dcterms:created>
  <dcterms:modified xsi:type="dcterms:W3CDTF">2021-04-22T08:29:00Z</dcterms:modified>
</cp:coreProperties>
</file>